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ОСНОВНА МУЗИЧКА ШКОЛА ,,СТЕВАН МОКРАЊАЦ''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СЕНТА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114300" distR="114300">
            <wp:extent cx="1904365" cy="1744980"/>
            <wp:effectExtent b="0" l="0" r="0" t="0"/>
            <wp:docPr id="102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744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ИЗВЕШТАЈ О САМОВРЕДНОВАЊУ РАДА ШКОЛЕ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ШКОЛСКA 2024/25. ГОДИНА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Сента,  2025. године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САМОВРЕДНОВАЊЕ РАДА ШКОЛЕ 2024/25</w:t>
      </w:r>
    </w:p>
    <w:p w:rsidR="00000000" w:rsidDel="00000000" w:rsidP="00000000" w:rsidRDefault="00000000" w:rsidRPr="00000000" w14:paraId="00000017">
      <w:pPr>
        <w:spacing w:before="240" w:line="360" w:lineRule="auto"/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360" w:lineRule="auto"/>
        <w:ind w:firstLine="48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На првом састанку тима за самовредновање разматране су кључне области које би на основу Развојног плана установе биле вредноване у овој школској години.  Анализом годишњег извештаја о раду установе, извештаја о самовредновању за прошлу шк. годину , као и анализом развојних циљева који су планирани за овај период стручни тим је одлучио да у школској 2024/2025. години процесом самовредновања буду обухваћене следеће кључне области квалитета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1. ПРОГРАМИРАЊЕ, ПЛАНИРАЊЕ И ИЗВЕШТАВАЊЕ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3. ОБРАЗОВНА ПОСТИГНУЋА УЧЕНИКА.</w:t>
      </w:r>
    </w:p>
    <w:p w:rsidR="00000000" w:rsidDel="00000000" w:rsidP="00000000" w:rsidRDefault="00000000" w:rsidRPr="00000000" w14:paraId="00000019">
      <w:pPr>
        <w:spacing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Самовредновање се врши на основу Правилника о стандардима квалитета рада установе.</w:t>
      </w:r>
    </w:p>
    <w:p w:rsidR="00000000" w:rsidDel="00000000" w:rsidP="00000000" w:rsidRDefault="00000000" w:rsidRPr="00000000" w14:paraId="0000001A">
      <w:pPr>
        <w:spacing w:before="240" w:line="360" w:lineRule="auto"/>
        <w:ind w:firstLine="72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Самовредновање је процес неопходан за унапређивање образовно-васпитног рада у свим доменима.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Тим за самовредновање рада школе чине следећи чланови: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08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⮚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Мелинда Чинош – стручни сарадник, координатор Тима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80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Моника Леваи, директорица школе,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80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Мелинда Мајор, представник Школског одбора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80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Представник Савета  родитеља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80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Представник Ученичког парламента</w:t>
      </w:r>
    </w:p>
    <w:p w:rsidR="00000000" w:rsidDel="00000000" w:rsidP="00000000" w:rsidRDefault="00000000" w:rsidRPr="00000000" w14:paraId="00000021">
      <w:pPr>
        <w:spacing w:before="240" w:line="360" w:lineRule="auto"/>
        <w:ind w:firstLine="72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За сваку од области квалитета, чланови Стручног тима за самовредновање прикупљали су ваљане и поуздане доказе за које је обезбеђена заштита и чување. Приликом обраде података школски тим је примењивао оне статистичке методе за које поседује одговарајућа методолошка знања. У процесу самовредновања примењивале су се различите технике и инструменти, углавном анкете које су сачињене у сврху самовредновања.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Фазе самовредновања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Самовредновање је вршено током целе школске 2024/2025. године.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deada" w:val="clear"/>
        <w:spacing w:line="360" w:lineRule="auto"/>
        <w:ind w:left="108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1.Израда плана самовредновања (подела задужења за спрoвођење истраживања)-септeмбар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d5b5" w:val="clear"/>
        <w:spacing w:line="360" w:lineRule="auto"/>
        <w:ind w:left="108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Спровођење истраживања (анкетирање испитаника) - април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deada" w:val="clear"/>
        <w:spacing w:line="360" w:lineRule="auto"/>
        <w:ind w:left="108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 Обрада и анализа података, израда извештаја - мај, јун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d5b5" w:val="clear"/>
        <w:spacing w:line="360" w:lineRule="auto"/>
        <w:ind w:left="108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4. Анализа осталих извора доказа за кључну област - јун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deada" w:val="clear"/>
        <w:spacing w:line="360" w:lineRule="auto"/>
        <w:ind w:left="108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5. Израда извештаја о самовредновању за кључну област - јун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d5b5" w:val="clear"/>
        <w:spacing w:line="360" w:lineRule="auto"/>
        <w:ind w:left="108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6. Израда акционог плана - август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deada" w:val="clear"/>
        <w:spacing w:after="200" w:line="360" w:lineRule="auto"/>
        <w:ind w:left="108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7.Презентовање Наставничком већу и Педагошком колегијуму извештаја о самовредновању и акционог плана унапређења - август</w:t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Oбласт квалитета 1:</w:t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Програмирање, планирање и извештавање</w:t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1.1. Програмирање образовно-васпитног рада је у функцији квалитетног рада школе (4)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1.1.1. Школски програм се заснива на прописаним начелима за израду овог документа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 ✅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1.2. Планирање рада органа, тела и тимова jе у функциjи ефективног и ефикасног рада у школи (4)</w:t>
      </w:r>
    </w:p>
    <w:p w:rsidR="00000000" w:rsidDel="00000000" w:rsidP="00000000" w:rsidRDefault="00000000" w:rsidRPr="00000000" w14:paraId="00000038">
      <w:pPr>
        <w:spacing w:after="240" w:before="240" w:line="36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1.2.4. Оперативно планирање органа, тела и тимова предвиђа активности и механизме за праћење рада и извештавање током школске године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 ✅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1.3. Планирање образовно васпитног рада усмерено је на развој и остваривање циљева образовања и васпитања, стандарда постигнућа/ исхода у наставним предметима и општих међупредметних и предметних компетенција. (4)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   1.3.1. Наставници користе међупредметне и предметне компетенције и стандарде за глобално планирање наставе и исходе постигнућа за оперативно планирање наставе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✅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1.3.2. У оперативним плановима наставника и у њиховим дневним припремама видљиве су методе и технике којима је планирано активно учешће ученика на часу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✅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Самовредновање ове области је извршено увидом у:</w:t>
      </w:r>
    </w:p>
    <w:p w:rsidR="00000000" w:rsidDel="00000000" w:rsidP="00000000" w:rsidRDefault="00000000" w:rsidRPr="00000000" w14:paraId="00000041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Школски програм</w:t>
      </w:r>
    </w:p>
    <w:p w:rsidR="00000000" w:rsidDel="00000000" w:rsidP="00000000" w:rsidRDefault="00000000" w:rsidRPr="00000000" w14:paraId="00000042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Годишњи план рада школе</w:t>
      </w:r>
    </w:p>
    <w:p w:rsidR="00000000" w:rsidDel="00000000" w:rsidP="00000000" w:rsidRDefault="00000000" w:rsidRPr="00000000" w14:paraId="00000043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Годишњи извештај о раду школе</w:t>
      </w:r>
    </w:p>
    <w:p w:rsidR="00000000" w:rsidDel="00000000" w:rsidP="00000000" w:rsidRDefault="00000000" w:rsidRPr="00000000" w14:paraId="00000044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Развојни план</w:t>
      </w:r>
    </w:p>
    <w:p w:rsidR="00000000" w:rsidDel="00000000" w:rsidP="00000000" w:rsidRDefault="00000000" w:rsidRPr="00000000" w14:paraId="00000045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Извештаји наставничког и одељенског већа, стручних актива, тимова, педагога и директора</w:t>
      </w:r>
    </w:p>
    <w:p w:rsidR="00000000" w:rsidDel="00000000" w:rsidP="00000000" w:rsidRDefault="00000000" w:rsidRPr="00000000" w14:paraId="00000046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Годишњи, оперативни планови и дневне припреме наставника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Школски програм и годишњи план рада школе су урађени у складу са Законом и садрже све прописане садржаје. Свим елементима је дат одговарајући значај. Школским програмом обезбеђује се остваривање наставних планова и програма у складу са потребама ученика и родитеља школе.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Садржи све програме и друге законом прописане елементе. Школски програм за први и други циклус образовања сачињен је за период на четири године, за све разреде и предмете.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 Школском програму је видљиво да постоје мере за обезбеђивање квалитетног образовно – васпитног процеса за све ученике – посебни програми рада су резултат сагледавања стања и пореба школе, начини реализације наставних програма уважавају ресурсе школе и потребе и интересовања ученика.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Годишњи план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донет је у складу са Школским програмом, Развојним планом и Годишњим календаром. Садржи посебне програме васпитног рада са ученицима. Глобални планови наставних предмета, саставни су део Годишњег плана рада школе и налазе се у документацији сваког наставника школе.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 оперативном планирању органа, тела, тимова, стручних сарадника, и директора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конкретизовани су циљеви из школског програма и развојног плана. Оперативно планирање органа, тела, тимова у установи предвиђа активности и механизме за праћење рада и извештавање током целе године.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У изради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Развојног плана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учествовале су све кључне циљне групе (стручни сарадник, директор, наставници, ученици, родитељи) , донет је нов план од 2024. године до 2029. године, у складу са Законом о основама система образовања и васпитања и Законом о основном образовању. Увидом у Развојни план школе утврђено је да садржи основне податке о школи и материјално техничким могућностима установе.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Наставници су предвидели различите методе рада у оквиру својих планова. Кроз предвиђену додатну наставу подстичу се ученици на учење и образовање током целог живота, а кроз допунску наставу се побољшава мотивација ученицима који имају проблема у учењу. Наставници користе позитивне повратне информације, похвале и награде као средство за мотивисање ученика.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 програмирању рада уважавају се узрасне, развојне и специфичне потребе ученика које су подржане индивидуалним и индивидуализованим плановима рада кроз поменуте начине подршке у образовању и васпитању ученика и кроз подршку за социјалне, здравствене и психолошке потребе.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 оперативном планирању органа, тела, тимова, стручних сарадника, и директора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конкретизовани су циљеви из школског програма и развојног плана. Оперативно планирање органа, тела, тимова у установи предвиђа активности и механизме за праћење рада и извештавање током целе године.</w:t>
      </w:r>
    </w:p>
    <w:p w:rsidR="00000000" w:rsidDel="00000000" w:rsidP="00000000" w:rsidRDefault="00000000" w:rsidRPr="00000000" w14:paraId="00000056">
      <w:pPr>
        <w:spacing w:after="16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Ученици који имају потребу за додатним радом, било кроз допунску или додатну наставу имају прилику да у договору са наставником похађају исту током школске године. Анализирани планови рада наставника,као и извештаји о реализацији редовне, допунске и додатне наставе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Напомињемо да индикатор 1.3.1. није у потпуности применљив за процену у основној музичкој школи, имајућу у виду да за ОМШ још увек не постоје прописани стандарди постигнућа, већ само исходи за све разреде.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На основу извршеног прегледа утврђено је да су испитани стандарди у потпуности задовољени.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Oбласт квалитета 3:</w:t>
      </w:r>
    </w:p>
    <w:p w:rsidR="00000000" w:rsidDel="00000000" w:rsidP="00000000" w:rsidRDefault="00000000" w:rsidRPr="00000000" w14:paraId="00000077">
      <w:pPr>
        <w:spacing w:line="36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Образовна постигнућа ученика</w:t>
      </w:r>
    </w:p>
    <w:p w:rsidR="00000000" w:rsidDel="00000000" w:rsidP="00000000" w:rsidRDefault="00000000" w:rsidRPr="00000000" w14:paraId="00000078">
      <w:pPr>
        <w:spacing w:after="240" w:line="360" w:lineRule="auto"/>
        <w:jc w:val="left"/>
        <w:rPr>
          <w:rFonts w:ascii="Verdana" w:cs="Verdana" w:eastAsia="Verdana" w:hAnsi="Verdana"/>
          <w:b w:val="1"/>
          <w:color w:val="707b84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240"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3.1. Резултати ученика на завршном испиту -</w:t>
      </w:r>
    </w:p>
    <w:p w:rsidR="00000000" w:rsidDel="00000000" w:rsidP="00000000" w:rsidRDefault="00000000" w:rsidRPr="00000000" w14:paraId="0000007A">
      <w:pPr>
        <w:spacing w:after="160" w:line="36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3.1.1. Анализа резултата завршног испита -</w:t>
      </w:r>
    </w:p>
    <w:p w:rsidR="00000000" w:rsidDel="00000000" w:rsidP="00000000" w:rsidRDefault="00000000" w:rsidRPr="00000000" w14:paraId="0000007B">
      <w:pPr>
        <w:spacing w:after="160"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6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3.2. Школa континуирано доприноси бољим образовним постигнућима ученика (3)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60" w:line="36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3.2.2. Ученици коjима jе потребна додатна образовна подршка остваруjу постигнућа у складу са индивидуалним циљевима учења/прилагођеним образовним стандардима. ✅</w:t>
      </w:r>
    </w:p>
    <w:p w:rsidR="00000000" w:rsidDel="00000000" w:rsidP="00000000" w:rsidRDefault="00000000" w:rsidRPr="00000000" w14:paraId="0000007E">
      <w:pPr>
        <w:spacing w:after="160" w:line="36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3.2.3. Ученици су укључени у допунску наставу у складу са својим потребама.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 ✅</w:t>
      </w:r>
    </w:p>
    <w:p w:rsidR="00000000" w:rsidDel="00000000" w:rsidP="00000000" w:rsidRDefault="00000000" w:rsidRPr="00000000" w14:paraId="0000007F">
      <w:pPr>
        <w:spacing w:after="160" w:line="36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3.2.4. Ученици коjи похађаjу допунску наставу показуjу напредку учењу.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✅</w:t>
      </w:r>
    </w:p>
    <w:p w:rsidR="00000000" w:rsidDel="00000000" w:rsidP="00000000" w:rsidRDefault="00000000" w:rsidRPr="00000000" w14:paraId="00000080">
      <w:pPr>
        <w:spacing w:after="160" w:line="36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3.2.5. Ученици коjи похађаjу часове додатног рада остваруjу напредак у складу са програмским циљевима и индивидуалним потребама.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3.2.6. Школа реализуjе квалитетан програм припреме ученика за завршни испит.-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Самовредновање ове области је извршено увидом у:</w:t>
      </w:r>
    </w:p>
    <w:p w:rsidR="00000000" w:rsidDel="00000000" w:rsidP="00000000" w:rsidRDefault="00000000" w:rsidRPr="00000000" w14:paraId="00000084">
      <w:pPr>
        <w:spacing w:after="16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Анализу педагошке документације наставника</w:t>
      </w:r>
    </w:p>
    <w:p w:rsidR="00000000" w:rsidDel="00000000" w:rsidP="00000000" w:rsidRDefault="00000000" w:rsidRPr="00000000" w14:paraId="00000085">
      <w:pPr>
        <w:spacing w:after="16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Дневника рада</w:t>
      </w:r>
    </w:p>
    <w:p w:rsidR="00000000" w:rsidDel="00000000" w:rsidP="00000000" w:rsidRDefault="00000000" w:rsidRPr="00000000" w14:paraId="00000086">
      <w:pPr>
        <w:spacing w:after="16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Годишљег извештаја о раду школе</w:t>
      </w:r>
    </w:p>
    <w:p w:rsidR="00000000" w:rsidDel="00000000" w:rsidP="00000000" w:rsidRDefault="00000000" w:rsidRPr="00000000" w14:paraId="00000087">
      <w:pPr>
        <w:spacing w:after="16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Годишњег плана рада школе</w:t>
      </w:r>
    </w:p>
    <w:p w:rsidR="00000000" w:rsidDel="00000000" w:rsidP="00000000" w:rsidRDefault="00000000" w:rsidRPr="00000000" w14:paraId="00000088">
      <w:pPr>
        <w:spacing w:after="16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Резултати googlе упитника за наставнике</w:t>
      </w:r>
    </w:p>
    <w:p w:rsidR="00000000" w:rsidDel="00000000" w:rsidP="00000000" w:rsidRDefault="00000000" w:rsidRPr="00000000" w14:paraId="00000089">
      <w:pPr>
        <w:spacing w:after="16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3.1.1. показатељ није вреднован зато што се у нашој школи реализује само годишњи испит из појединих предмета. Класичан завршни испит који се полаже у основним школама не важи за основне музичке школе. 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Ова пракса значи да ученици у музичким школама полажу завршни годишњи испит на крају 6. разреда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(</w:t>
      </w:r>
      <w:r w:rsidDel="00000000" w:rsidR="00000000" w:rsidRPr="00000000">
        <w:rPr>
          <w:i w:val="1"/>
          <w:sz w:val="28"/>
          <w:szCs w:val="28"/>
          <w:rtl w:val="0"/>
        </w:rPr>
        <w:t xml:space="preserve">солфеђо, музичка теорија, инструмент).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Овај испит ће вероватно бити резиме знања и вештина стечених током године и пружа прилику ученицима да демонстрирају свој развој и инструменталне или музичке способности кроз свеобухватни испит.</w:t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 раду обраде и анализе области квалитета Образовна постигнућа ученика, чланови Тима су спровели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онлајн анкетирање наставника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и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анкетирање ученика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затим су у обзир узети Извештаји о успеху ученика на крају школске године.</w:t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Ученици који имају потребу за додатним радом, било кроз допунску или додатну наставу имају прилику да у договору са наставником похађају исту током школске године. </w:t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Планирање допунске наставе и додатног рада је функционално и засновано је на праћењу постигнућа ученика. Допунска настава се организује за ученике који повремено заостају у раду, због неуједначеног претходно стеченог знања, различитих способности ученика и дужег одсуствовања са наставе.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Додатна настава се организује за ученике који показују посебна интересовања и испољавају изразите способности за поједине наставне области. У годишњем плану за сва стручна већа је планирана допунска настава и додатни рад, као и у плану за одељенска већа.</w:t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Образовно-васпитни рад за ученике са посебним склоностима и способностима за поједине предмете (додатни рад) организован је за ученике такмичаре (према наставном плану и програму). Додатни рад, као и претходних година интензивиран је у оквиру припрема за такмичење ученика. Евиденција реализованих часова и обухваћених ученика уредно се води у Дневницима рада за остале облике образовно-васпитног рада. Сви постигнути резултати јавно се промовишу путем фејсбук странице школе, иснтаграм странице школе, сајта, као и на седницама Одељенског и Наставничког већа. </w:t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Школа континуирано прати успешност ученика – у оквиру извештаја о реализацији годишњег плана рада води се евиденција просечних оцена, на нивоу класа и за целу школу.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Тим за инклузивно образовање води евиденцију о напредовању ученика који се образују по ИОП-у. 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Евиденција из дневника показује да ученици који похађају допунску, као и они који похађају додатну наставу остварују очекивани напредак.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00" w:before="10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На основу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попуњене анкете од стране наставника смо добили следеће податке.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 наставку су табеларни резултати на основу одговора наставника. </w:t>
      </w:r>
    </w:p>
    <w:p w:rsidR="00000000" w:rsidDel="00000000" w:rsidP="00000000" w:rsidRDefault="00000000" w:rsidRPr="00000000" w14:paraId="00000098">
      <w:pPr>
        <w:spacing w:before="100"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Одговори:</w:t>
      </w:r>
    </w:p>
    <w:p w:rsidR="00000000" w:rsidDel="00000000" w:rsidP="00000000" w:rsidRDefault="00000000" w:rsidRPr="00000000" w14:paraId="00000099">
      <w:pPr>
        <w:spacing w:before="100" w:line="360" w:lineRule="auto"/>
        <w:ind w:left="116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1. нетачно/није присутно</w:t>
      </w:r>
    </w:p>
    <w:p w:rsidR="00000000" w:rsidDel="00000000" w:rsidP="00000000" w:rsidRDefault="00000000" w:rsidRPr="00000000" w14:paraId="0000009A">
      <w:pPr>
        <w:spacing w:before="240" w:line="360" w:lineRule="auto"/>
        <w:ind w:left="116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2. у мањој мери тачно/присутно</w:t>
      </w:r>
    </w:p>
    <w:p w:rsidR="00000000" w:rsidDel="00000000" w:rsidP="00000000" w:rsidRDefault="00000000" w:rsidRPr="00000000" w14:paraId="0000009B">
      <w:pPr>
        <w:spacing w:before="240" w:line="360" w:lineRule="auto"/>
        <w:ind w:left="116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3. у већој мери тачно/присутно</w:t>
      </w:r>
    </w:p>
    <w:p w:rsidR="00000000" w:rsidDel="00000000" w:rsidP="00000000" w:rsidRDefault="00000000" w:rsidRPr="00000000" w14:paraId="0000009C">
      <w:pPr>
        <w:spacing w:before="240" w:line="360" w:lineRule="auto"/>
        <w:ind w:left="116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4. тачно/присутно у потпуности</w:t>
      </w:r>
    </w:p>
    <w:p w:rsidR="00000000" w:rsidDel="00000000" w:rsidP="00000000" w:rsidRDefault="00000000" w:rsidRPr="00000000" w14:paraId="0000009D">
      <w:pPr>
        <w:spacing w:after="200" w:before="10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6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24.081818181818"/>
        <w:gridCol w:w="270.77878787878785"/>
        <w:gridCol w:w="270.77878787878785"/>
        <w:gridCol w:w="270.77878787878785"/>
        <w:gridCol w:w="313.5333333333333"/>
        <w:gridCol w:w="456.0484848484848"/>
        <w:tblGridChange w:id="0">
          <w:tblGrid>
            <w:gridCol w:w="7824.081818181818"/>
            <w:gridCol w:w="270.77878787878785"/>
            <w:gridCol w:w="270.77878787878785"/>
            <w:gridCol w:w="270.77878787878785"/>
            <w:gridCol w:w="313.5333333333333"/>
            <w:gridCol w:w="456.048484848484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160" w:line="360" w:lineRule="auto"/>
              <w:ind w:right="2840"/>
              <w:jc w:val="right"/>
              <w:rPr>
                <w:b w:val="1"/>
                <w:color w:val="231f20"/>
              </w:rPr>
            </w:pPr>
            <w:r w:rsidDel="00000000" w:rsidR="00000000" w:rsidRPr="00000000">
              <w:rPr>
                <w:b w:val="1"/>
                <w:color w:val="231f20"/>
                <w:rtl w:val="0"/>
              </w:rPr>
              <w:t xml:space="preserve">ТВРДЊА/ИСКАЗ</w:t>
            </w:r>
          </w:p>
        </w:tc>
        <w:tc>
          <w:tcPr>
            <w:gridSpan w:val="4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40" w:line="360" w:lineRule="auto"/>
              <w:ind w:left="140" w:firstLine="0"/>
              <w:jc w:val="center"/>
              <w:rPr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31f20"/>
                <w:sz w:val="20"/>
                <w:szCs w:val="20"/>
                <w:rtl w:val="0"/>
              </w:rPr>
              <w:t xml:space="preserve">ТАЧНО</w:t>
            </w:r>
          </w:p>
        </w:tc>
        <w:tc>
          <w:tcPr>
            <w:vMerge w:val="restart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40" w:line="360" w:lineRule="auto"/>
              <w:ind w:left="14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after="240" w:before="40" w:line="360" w:lineRule="auto"/>
              <w:ind w:left="14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%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0" w:line="360" w:lineRule="auto"/>
              <w:ind w:left="6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0" w:line="360" w:lineRule="auto"/>
              <w:ind w:left="6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0" w:line="360" w:lineRule="auto"/>
              <w:ind w:left="6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0" w:line="360" w:lineRule="auto"/>
              <w:ind w:left="6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Резултати праћења образовних постигнућа користе се за даљи развој ученика.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3.63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Ученицима којима је потребна додатна образовна подршка (ИОП) остварују постигнућа у складу са индивидуалним циљевима учења - прилагођеним онразовним стандардима.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3.36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Ученици су укључени у допунску наставу у складу са својим потребама.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3.89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  <w:t xml:space="preserve">Ученици који похађају допунску наставу показују напредак у учењу.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3.26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</w:t>
            </w:r>
            <w:r w:rsidDel="00000000" w:rsidR="00000000" w:rsidRPr="00000000">
              <w:rPr>
                <w:rtl w:val="0"/>
              </w:rPr>
              <w:t xml:space="preserve">Ученици који похађају часове додатног рада остварују напредак у складу са програмским циљевима и индивидуалним потребама.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3.68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</w:t>
            </w:r>
            <w:r w:rsidDel="00000000" w:rsidR="00000000" w:rsidRPr="00000000">
              <w:rPr>
                <w:rtl w:val="0"/>
              </w:rPr>
              <w:t xml:space="preserve">Школа реализује квалитетан програм припреме ученика за завршни испит.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3.73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</w:t>
            </w:r>
            <w:r w:rsidDel="00000000" w:rsidR="00000000" w:rsidRPr="00000000">
              <w:rPr>
                <w:rtl w:val="0"/>
              </w:rPr>
              <w:t xml:space="preserve">Резултати иницијалних и годишњих тестова и провера знања користе се у индивидуализацији подршке у учењу.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3.42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  <w:t xml:space="preserve">Резултати на завршном испиту показују да су остварени циљеви образовања.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3.42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 </w:t>
            </w:r>
            <w:r w:rsidDel="00000000" w:rsidR="00000000" w:rsidRPr="00000000">
              <w:rPr>
                <w:rtl w:val="0"/>
              </w:rPr>
              <w:t xml:space="preserve">Резултати на завршном испиту показују да су остварени очекивани исходи (знања, вештине и ставови) образовања.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3.36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hd w:fill="ffffff" w:val="clear"/>
              <w:spacing w:after="240" w:before="240" w:line="360" w:lineRule="auto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Укупно:</w:t>
            </w:r>
          </w:p>
        </w:tc>
        <w:tc>
          <w:tcPr>
            <w:gridSpan w:val="5"/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3.52</w:t>
            </w:r>
          </w:p>
        </w:tc>
      </w:tr>
    </w:tbl>
    <w:p w:rsidR="00000000" w:rsidDel="00000000" w:rsidP="00000000" w:rsidRDefault="00000000" w:rsidRPr="00000000" w14:paraId="000000E7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before="240" w:line="360" w:lineRule="auto"/>
        <w:ind w:firstLine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Упитани наставници залажу да су искази присутне и да се остварују у потпуности у школи. Највишу оцену добила је тврдња под редним бројем 3, везана да ученици су укључени у допунску наставу у складу са својим потребама.</w:t>
      </w:r>
    </w:p>
    <w:p w:rsidR="00000000" w:rsidDel="00000000" w:rsidP="00000000" w:rsidRDefault="00000000" w:rsidRPr="00000000" w14:paraId="000000EA">
      <w:pPr>
        <w:spacing w:before="240" w:line="360" w:lineRule="auto"/>
        <w:ind w:firstLine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Најнижу оцену добила је тврдња под редним бројем 4, везана да ученици који похађају допунску наставу показују напредак у учењу.</w:t>
      </w:r>
    </w:p>
    <w:p w:rsidR="00000000" w:rsidDel="00000000" w:rsidP="00000000" w:rsidRDefault="00000000" w:rsidRPr="00000000" w14:paraId="000000EB">
      <w:pPr>
        <w:spacing w:before="240"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 наредном периоду треба посветити више пажње унапређењу квалитета допунске наставе, како би ученици након ње показивали напредак у учењу. Ово може укључивати примену нових метода подучавања, индивидуални приступ ученицима и континуирану проверу ефективности наставних активности. Такође, важно је обезбедити да наставници имају прилику за усавршавање и размену искустава, како би допринели бољим резултатима ученика.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Анонимни упитник је попунило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52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ученика. Упитник је дистрибуиран штампаним путем. У наставку су табеларни резултати на основу одговора ученика. </w:t>
      </w:r>
    </w:p>
    <w:p w:rsidR="00000000" w:rsidDel="00000000" w:rsidP="00000000" w:rsidRDefault="00000000" w:rsidRPr="00000000" w14:paraId="000000EE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Одговори:</w:t>
      </w:r>
    </w:p>
    <w:p w:rsidR="00000000" w:rsidDel="00000000" w:rsidP="00000000" w:rsidRDefault="00000000" w:rsidRPr="00000000" w14:paraId="000000F0">
      <w:pPr>
        <w:spacing w:before="100" w:line="360" w:lineRule="auto"/>
        <w:ind w:left="116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sz w:val="28"/>
          <w:szCs w:val="28"/>
          <w:rtl w:val="0"/>
        </w:rPr>
        <w:t xml:space="preserve">нетачно/није присутно</w:t>
      </w:r>
    </w:p>
    <w:p w:rsidR="00000000" w:rsidDel="00000000" w:rsidP="00000000" w:rsidRDefault="00000000" w:rsidRPr="00000000" w14:paraId="000000F1">
      <w:pPr>
        <w:spacing w:before="240" w:line="360" w:lineRule="auto"/>
        <w:ind w:left="116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sz w:val="28"/>
          <w:szCs w:val="28"/>
          <w:rtl w:val="0"/>
        </w:rPr>
        <w:t xml:space="preserve">у мањој мери тачно/присутно</w:t>
      </w:r>
    </w:p>
    <w:p w:rsidR="00000000" w:rsidDel="00000000" w:rsidP="00000000" w:rsidRDefault="00000000" w:rsidRPr="00000000" w14:paraId="000000F2">
      <w:pPr>
        <w:spacing w:before="240" w:line="360" w:lineRule="auto"/>
        <w:ind w:left="116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sz w:val="28"/>
          <w:szCs w:val="28"/>
          <w:rtl w:val="0"/>
        </w:rPr>
        <w:t xml:space="preserve">у већој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мери тачно/присутно</w:t>
      </w:r>
    </w:p>
    <w:p w:rsidR="00000000" w:rsidDel="00000000" w:rsidP="00000000" w:rsidRDefault="00000000" w:rsidRPr="00000000" w14:paraId="000000F3">
      <w:pPr>
        <w:spacing w:before="240" w:line="360" w:lineRule="auto"/>
        <w:ind w:left="116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4. </w:t>
      </w:r>
      <w:r w:rsidDel="00000000" w:rsidR="00000000" w:rsidRPr="00000000">
        <w:rPr>
          <w:b w:val="1"/>
          <w:sz w:val="28"/>
          <w:szCs w:val="28"/>
          <w:rtl w:val="0"/>
        </w:rPr>
        <w:t xml:space="preserve">тачно/присутно у потпуности</w:t>
      </w:r>
    </w:p>
    <w:p w:rsidR="00000000" w:rsidDel="00000000" w:rsidP="00000000" w:rsidRDefault="00000000" w:rsidRPr="00000000" w14:paraId="000000F4">
      <w:pPr>
        <w:spacing w:line="360" w:lineRule="auto"/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6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24.081818181818"/>
        <w:gridCol w:w="270.77878787878785"/>
        <w:gridCol w:w="270.77878787878785"/>
        <w:gridCol w:w="270.77878787878785"/>
        <w:gridCol w:w="313.5333333333333"/>
        <w:gridCol w:w="456.0484848484848"/>
        <w:tblGridChange w:id="0">
          <w:tblGrid>
            <w:gridCol w:w="7824.081818181818"/>
            <w:gridCol w:w="270.77878787878785"/>
            <w:gridCol w:w="270.77878787878785"/>
            <w:gridCol w:w="270.77878787878785"/>
            <w:gridCol w:w="313.5333333333333"/>
            <w:gridCol w:w="456.048484848484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160" w:line="360" w:lineRule="auto"/>
              <w:ind w:right="2840"/>
              <w:jc w:val="right"/>
              <w:rPr>
                <w:b w:val="1"/>
                <w:color w:val="231f20"/>
              </w:rPr>
            </w:pPr>
            <w:r w:rsidDel="00000000" w:rsidR="00000000" w:rsidRPr="00000000">
              <w:rPr>
                <w:b w:val="1"/>
                <w:color w:val="231f20"/>
                <w:rtl w:val="0"/>
              </w:rPr>
              <w:t xml:space="preserve">ТВРДЊА/ИСКАЗ</w:t>
            </w:r>
          </w:p>
        </w:tc>
        <w:tc>
          <w:tcPr>
            <w:gridSpan w:val="4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40" w:line="360" w:lineRule="auto"/>
              <w:ind w:left="140" w:firstLine="0"/>
              <w:jc w:val="center"/>
              <w:rPr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31f20"/>
                <w:sz w:val="20"/>
                <w:szCs w:val="20"/>
                <w:rtl w:val="0"/>
              </w:rPr>
              <w:t xml:space="preserve">ТАЧНО</w:t>
            </w:r>
          </w:p>
        </w:tc>
        <w:tc>
          <w:tcPr>
            <w:vMerge w:val="restart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40" w:line="360" w:lineRule="auto"/>
              <w:ind w:left="14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C">
            <w:pPr>
              <w:spacing w:after="240" w:before="40" w:line="360" w:lineRule="auto"/>
              <w:ind w:left="14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%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36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0" w:line="360" w:lineRule="auto"/>
              <w:ind w:left="6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0" w:line="360" w:lineRule="auto"/>
              <w:ind w:left="6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0" w:line="360" w:lineRule="auto"/>
              <w:ind w:left="6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0" w:line="360" w:lineRule="auto"/>
              <w:ind w:left="60" w:firstLine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231f20" w:space="0" w:sz="7" w:val="single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36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hd w:fill="ffffff" w:val="clear"/>
              <w:spacing w:after="240" w:before="24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Упознат/а сам са ваннаставним активностима које организује музичка школа (допунски часови, додатни часови, секције- </w:t>
            </w:r>
            <w:r w:rsidDel="00000000" w:rsidR="00000000" w:rsidRPr="00000000">
              <w:rPr>
                <w:i w:val="1"/>
                <w:rtl w:val="0"/>
              </w:rPr>
              <w:t xml:space="preserve">караоке, рок бенд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2.69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Ваннаставне активности одговарају мом интересовању.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2.44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Ваннаставне часови помажу у стицању и развоју мог знања.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2.76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  <w:t xml:space="preserve">Секције се одржавају у терминима који већини ученика одговарају.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2.50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</w:t>
            </w:r>
            <w:r w:rsidDel="00000000" w:rsidR="00000000" w:rsidRPr="00000000">
              <w:rPr>
                <w:rtl w:val="0"/>
              </w:rPr>
              <w:t xml:space="preserve">Ученици који похађају допунске часове показују напредак у постизању очекиваних резултата.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2.96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</w:t>
            </w:r>
            <w:r w:rsidDel="00000000" w:rsidR="00000000" w:rsidRPr="00000000">
              <w:rPr>
                <w:rtl w:val="0"/>
              </w:rPr>
              <w:t xml:space="preserve">Ученици који похађају додатне наставе показују напредак у постизању очекиваних резултата.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2.59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</w:t>
            </w:r>
            <w:r w:rsidDel="00000000" w:rsidR="00000000" w:rsidRPr="00000000">
              <w:rPr>
                <w:rtl w:val="0"/>
              </w:rPr>
              <w:t xml:space="preserve">Наставник инструмента признаје и похваљује  успехе ученика и подстиче их на истрајни напредак.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3.17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  <w:t xml:space="preserve">Наставник солфеђа признаје  и похваљује успехе ученика и подстиче их на истрајни напредак.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3.32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hd w:fill="ffffff" w:val="clear"/>
              <w:spacing w:after="240" w:before="24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 </w:t>
            </w:r>
            <w:r w:rsidDel="00000000" w:rsidR="00000000" w:rsidRPr="00000000">
              <w:rPr>
                <w:rtl w:val="0"/>
              </w:rPr>
              <w:t xml:space="preserve">Ученици се припремају за завршни испит на крају 6. разреда из свих предмета из којих се организује испит (</w:t>
            </w:r>
            <w:r w:rsidDel="00000000" w:rsidR="00000000" w:rsidRPr="00000000">
              <w:rPr>
                <w:i w:val="1"/>
                <w:rtl w:val="0"/>
              </w:rPr>
              <w:t xml:space="preserve">солфеђо, музичка теорија, инструмент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2.80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 </w:t>
            </w:r>
            <w:r w:rsidDel="00000000" w:rsidR="00000000" w:rsidRPr="00000000">
              <w:rPr>
                <w:rtl w:val="0"/>
              </w:rPr>
              <w:t xml:space="preserve">Наставници инструмената подстичу учешће на такмичењима.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2.51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hd w:fill="ffffff" w:val="clear"/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 </w:t>
            </w:r>
            <w:r w:rsidDel="00000000" w:rsidR="00000000" w:rsidRPr="00000000">
              <w:rPr>
                <w:rtl w:val="0"/>
              </w:rPr>
              <w:t xml:space="preserve">Наставници солфеђа подстичу учешће на такмичењима.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2.25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hd w:fill="ffffff" w:val="clear"/>
              <w:spacing w:after="240" w:before="240" w:line="360" w:lineRule="auto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Укупно:</w:t>
            </w:r>
          </w:p>
        </w:tc>
        <w:tc>
          <w:tcPr>
            <w:gridSpan w:val="5"/>
            <w:tcBorders>
              <w:top w:color="000000" w:space="0" w:sz="0" w:val="nil"/>
              <w:left w:color="231f20" w:space="0" w:sz="7" w:val="single"/>
              <w:bottom w:color="231f20" w:space="0" w:sz="7" w:val="single"/>
              <w:right w:color="231f2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="36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2.72</w:t>
            </w:r>
          </w:p>
        </w:tc>
      </w:tr>
    </w:tbl>
    <w:p w:rsidR="00000000" w:rsidDel="00000000" w:rsidP="00000000" w:rsidRDefault="00000000" w:rsidRPr="00000000" w14:paraId="0000014B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before="240" w:line="360" w:lineRule="auto"/>
        <w:ind w:firstLine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Упитани учениции залажу да су искази присутне  да се остварују у већој мери у школи. Највишу оцену добила је тврдња под редним бројем 8 , везана наставник солфеђа признаје и похваљуље успехе ученика и подстиче их на истрајни напредак  и тврдња под редним бројем 7, наставник инструмента признаје и похваљује успехе ученика и подстиче их на истрајни напредак.</w:t>
      </w:r>
    </w:p>
    <w:p w:rsidR="00000000" w:rsidDel="00000000" w:rsidP="00000000" w:rsidRDefault="00000000" w:rsidRPr="00000000" w14:paraId="0000014E">
      <w:pPr>
        <w:spacing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Најнижу оцену добила је тврдња под редним бројем 11, везаних да наставници солфеђа подстичу учешће на такмичењима.</w:t>
      </w:r>
    </w:p>
    <w:p w:rsidR="00000000" w:rsidDel="00000000" w:rsidP="00000000" w:rsidRDefault="00000000" w:rsidRPr="00000000" w14:paraId="0000014F">
      <w:pPr>
        <w:spacing w:after="240" w:before="240"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У наредном периоду потребно је посветити посебну пажњу да ученици додатно унапреде своја знања, као и да им се омогући активно учешће на такмичењима из солфеђа. </w:t>
      </w:r>
    </w:p>
    <w:p w:rsidR="00000000" w:rsidDel="00000000" w:rsidP="00000000" w:rsidRDefault="00000000" w:rsidRPr="00000000" w14:paraId="00000150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На основу свих извршених анализа Тим доноси закључак да школа у испуњава испитане стандарде.</w:t>
      </w:r>
    </w:p>
    <w:p w:rsidR="00000000" w:rsidDel="00000000" w:rsidP="00000000" w:rsidRDefault="00000000" w:rsidRPr="00000000" w14:paraId="00000151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У будућем периоду трудићемо се да и даље ангажујемо ученике у бројним активностима и да се о њима транспарентније говори како би ученици узимали што веће учешће у свим сегментима живота школе и да наставимо са добром праксом и негујемо квалитете и вредности које имамо.</w:t>
      </w:r>
    </w:p>
    <w:p w:rsidR="00000000" w:rsidDel="00000000" w:rsidP="00000000" w:rsidRDefault="00000000" w:rsidRPr="00000000" w14:paraId="00000152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Сента, 08.31.2025.                                                                 Тим са самовредновање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imSun"/>
  <w:font w:name="Georgia"/>
  <w:font w:name="Calibri"/>
  <w:font w:name="Times New Roman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bidi="ar-SA" w:eastAsia="en-US" w:val="en-US"/>
    </w:rPr>
  </w:style>
  <w:style w:type="paragraph" w:styleId="2">
    <w:name w:val="heading 3"/>
    <w:next w:val="1"/>
    <w:uiPriority w:val="9"/>
    <w:semiHidden w:val="1"/>
    <w:unhideWhenUsed w:val="1"/>
    <w:qFormat w:val="1"/>
    <w:pPr>
      <w:spacing w:after="0" w:afterAutospacing="1" w:before="0" w:beforeAutospacing="1"/>
      <w:jc w:val="left"/>
    </w:pPr>
    <w:rPr>
      <w:rFonts w:ascii="SimSun" w:cs="SimSun" w:eastAsia="SimSun" w:hAnsi="SimSun" w:hint="eastAsia"/>
      <w:b w:val="1"/>
      <w:bCs w:val="1"/>
      <w:kern w:val="0"/>
      <w:sz w:val="27"/>
      <w:szCs w:val="27"/>
      <w:lang w:bidi="ar" w:eastAsia="zh-CN" w:val="en-US"/>
    </w:rPr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Balloon Text"/>
    <w:basedOn w:val="1"/>
    <w:link w:val="14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6">
    <w:name w:val="footer"/>
    <w:basedOn w:val="1"/>
    <w:link w:val="19"/>
    <w:uiPriority w:val="99"/>
    <w:unhideWhenUsed w:val="1"/>
    <w:pPr>
      <w:tabs>
        <w:tab w:val="center" w:pos="4703"/>
        <w:tab w:val="right" w:pos="9406"/>
      </w:tabs>
    </w:pPr>
  </w:style>
  <w:style w:type="paragraph" w:styleId="7">
    <w:name w:val="footnote text"/>
    <w:basedOn w:val="1"/>
    <w:link w:val="17"/>
    <w:uiPriority w:val="99"/>
    <w:semiHidden w:val="1"/>
    <w:unhideWhenUsed w:val="1"/>
    <w:qFormat w:val="1"/>
    <w:pPr>
      <w:spacing w:after="200" w:line="276" w:lineRule="auto"/>
    </w:pPr>
    <w:rPr>
      <w:rFonts w:ascii="Arial" w:eastAsia="Calibri" w:hAnsi="Arial"/>
      <w:sz w:val="20"/>
      <w:szCs w:val="20"/>
    </w:rPr>
  </w:style>
  <w:style w:type="paragraph" w:styleId="8">
    <w:name w:val="header"/>
    <w:basedOn w:val="1"/>
    <w:link w:val="18"/>
    <w:uiPriority w:val="99"/>
    <w:semiHidden w:val="1"/>
    <w:unhideWhenUsed w:val="1"/>
    <w:pPr>
      <w:tabs>
        <w:tab w:val="center" w:pos="4703"/>
        <w:tab w:val="right" w:pos="9406"/>
      </w:tabs>
    </w:pPr>
  </w:style>
  <w:style w:type="paragraph" w:styleId="9">
    <w:name w:val="Normal (Web)"/>
    <w:basedOn w:val="1"/>
    <w:uiPriority w:val="99"/>
    <w:unhideWhenUsed w:val="1"/>
    <w:qFormat w:val="1"/>
    <w:pPr>
      <w:spacing w:after="100" w:afterAutospacing="1" w:before="100" w:beforeAutospacing="1"/>
    </w:pPr>
  </w:style>
  <w:style w:type="character" w:styleId="10">
    <w:name w:val="Strong"/>
    <w:basedOn w:val="3"/>
    <w:uiPriority w:val="22"/>
    <w:qFormat w:val="1"/>
    <w:rPr>
      <w:b w:val="1"/>
      <w:bCs w:val="1"/>
    </w:r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2">
    <w:name w:val="No Spacing"/>
    <w:link w:val="13"/>
    <w:uiPriority w:val="1"/>
    <w:qFormat w:val="1"/>
    <w:pPr>
      <w:spacing w:after="0" w:line="240" w:lineRule="auto"/>
    </w:pPr>
    <w:rPr>
      <w:rFonts w:ascii="Calibri" w:cs="Times New Roman" w:eastAsia="Calibri" w:hAnsi="Calibri"/>
      <w:sz w:val="22"/>
      <w:szCs w:val="22"/>
      <w:lang w:bidi="ar-SA" w:eastAsia="en-US" w:val="en-US"/>
    </w:rPr>
  </w:style>
  <w:style w:type="character" w:styleId="13" w:customStyle="1">
    <w:name w:val="No Spacing Char"/>
    <w:link w:val="12"/>
    <w:uiPriority w:val="1"/>
    <w:qFormat w:val="1"/>
    <w:rPr>
      <w:rFonts w:ascii="Calibri" w:cs="Times New Roman" w:eastAsia="Calibri" w:hAnsi="Calibri"/>
    </w:rPr>
  </w:style>
  <w:style w:type="character" w:styleId="14" w:customStyle="1">
    <w:name w:val="Balloon Text Char"/>
    <w:basedOn w:val="3"/>
    <w:link w:val="5"/>
    <w:uiPriority w:val="99"/>
    <w:semiHidden w:val="1"/>
    <w:qFormat w:val="1"/>
    <w:rPr>
      <w:rFonts w:ascii="Tahoma" w:cs="Tahoma" w:eastAsia="Times New Roman" w:hAnsi="Tahoma"/>
      <w:sz w:val="16"/>
      <w:szCs w:val="16"/>
    </w:rPr>
  </w:style>
  <w:style w:type="character" w:styleId="15" w:customStyle="1">
    <w:name w:val="apple-tab-span"/>
    <w:basedOn w:val="3"/>
    <w:uiPriority w:val="0"/>
    <w:qFormat w:val="1"/>
  </w:style>
  <w:style w:type="paragraph" w:styleId="16">
    <w:name w:val="List Paragraph"/>
    <w:basedOn w:val="1"/>
    <w:uiPriority w:val="34"/>
    <w:qFormat w:val="1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character" w:styleId="17" w:customStyle="1">
    <w:name w:val="Footnote Text Char"/>
    <w:basedOn w:val="3"/>
    <w:link w:val="7"/>
    <w:uiPriority w:val="99"/>
    <w:semiHidden w:val="1"/>
    <w:qFormat w:val="1"/>
    <w:rPr>
      <w:rFonts w:ascii="Arial" w:cs="Times New Roman" w:eastAsia="Calibri" w:hAnsi="Arial"/>
      <w:sz w:val="20"/>
      <w:szCs w:val="20"/>
    </w:rPr>
  </w:style>
  <w:style w:type="character" w:styleId="18" w:customStyle="1">
    <w:name w:val="Header Char"/>
    <w:basedOn w:val="3"/>
    <w:link w:val="8"/>
    <w:uiPriority w:val="99"/>
    <w:semiHidden w:val="1"/>
    <w:rPr>
      <w:rFonts w:ascii="Times New Roman" w:cs="Times New Roman" w:eastAsia="Times New Roman" w:hAnsi="Times New Roman"/>
      <w:sz w:val="24"/>
      <w:szCs w:val="24"/>
    </w:rPr>
  </w:style>
  <w:style w:type="character" w:styleId="19" w:customStyle="1">
    <w:name w:val="Footer Char"/>
    <w:basedOn w:val="3"/>
    <w:link w:val="6"/>
    <w:uiPriority w:val="99"/>
    <w:qFormat w:val="1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4d+ouUaMbStOifLzUfvqgMfKQ==">CgMxLjA4AHIhMVItS0NfOElQVVU2YUx3bUh6N01QZ3NJWlBCX3RpaGoy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2020-10-13T06:39:00Z</dcterms:created>
  <dc:creator>Бобан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97D0BB00347A49D2AD3F8FD09049D8AD_13</vt:lpwstr>
  </property>
</Properties>
</file>